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Suboclusión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intestinal.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Leslie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Hasne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Patricia Fuente, Lucila Facio, M Carolina Fischer, Rodrigo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Ubeira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Federico Rey Campero, Alfredo Hidalgo. 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•</w:t>
      </w:r>
      <w:r w:rsidRPr="00626FD8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Imágenes hepáticas quísticas múltiples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Romina Alejandra Parquet, Roque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Saenz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Giancarlo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Schiappacasse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  <w:r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02</w:t>
        </w:r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szCs w:val="18"/>
            <w:lang w:val="es-ES" w:eastAsia="es-ES"/>
          </w:rPr>
          <w:br/>
        </w:r>
      </w:hyperlink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MANUSCRITOS ORIGINALES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>•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Distribución de los genotipos de HCV entre individuos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-infectados con HIV en Argentina: su relación con factores del huésped y del virus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Jorge F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Quarleri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Federico M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Bolcic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María B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Bouzas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Natalia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Laufer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Manuel Gómez Carrillo, Lilia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Mammana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S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Kaufman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H Pérez, P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Cahn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H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Salomon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>Este estudio evalúa la prevalencia de HCV y la distribución de sus genotipos entre pacientes coinfectados con HIV en Argentina y su relación con la carga viral de HCV, los niveles séricos de ALT y el recuento de linfocitos T CD4+.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• 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Tendencia del cáncer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colorectal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una zona del norte de España</w:t>
      </w:r>
      <w:r w:rsidRPr="00626FD8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Milagros Bernal, Germán J Gómez, Francisco J Gómez</w:t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Los autores evalúan las tasas de incidencia de cáncer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colorectal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en una zona del norte de España entre los años 1992 y 2005 incluyendo un total de 2501 tumores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colorectales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, hallando notables incrementos en cáncer de colon, no así en recto.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• 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Estructuras del plexo de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Auerbach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intestinal con histoquímica del NADH en tres líneas de ratas espontáneamente diabéticas</w:t>
      </w:r>
      <w:r w:rsidRPr="00626FD8">
        <w:rPr>
          <w:rFonts w:ascii="Verdana" w:eastAsia="Times New Roman" w:hAnsi="Verdana" w:cs="Times New Roman"/>
          <w:b/>
          <w:bCs/>
          <w:i/>
          <w:iCs/>
          <w:color w:val="666666"/>
          <w:sz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Noriyuki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Hisano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Se describe la estructura histológica del plexo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mientérico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en tres líneas de ratas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wistar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espontáneamente diabéticas, estableciendo que la estructura reticular de ese plexo es dependiente de la línea de rata estudiada.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• 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Prevalencia de la infección por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Helicobacter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pylori en médicos de Medellín, Colombia</w:t>
      </w:r>
      <w:r w:rsidRPr="00626FD8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Germán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Campuzano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-Maya, Daniel Hoyos-Castaño, Víctor D Calvo-Betancur, Oscar A Suárez-</w:t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lastRenderedPageBreak/>
        <w:t>Ramírez, Douglas Lizcano-Cardona, Carlos A Rojas-Arbeláez</w:t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Los autores estudian la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prevalenca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de infección por H. pylori en 342 médicos de Medellín, Colombia, hallando cifras de prevalencia general de 77,2%, (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Ic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95%: 72,4% a 81,5%), no existiendo diferencias significativas entre ambos sexos. Además, el 46,6% de los individuos infectados por H. pylori fueron asintomáticos.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• 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Valoración de la serología como método diagnóstico de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Helicobacter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pylori en la población local de la ciudad de Guayaquil</w:t>
      </w:r>
      <w:r w:rsidRPr="00626FD8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Jorge A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Zapatier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Néstor A Gómez, Paola E Vargas, Susana V Maya</w:t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El objetivo de este trabajo fue validar la eficacia de la serología (anticuerpos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IgG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 xml:space="preserve"> e </w:t>
      </w:r>
      <w:proofErr w:type="spellStart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IgA</w:t>
      </w:r>
      <w:proofErr w:type="spellEnd"/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) como diagnóstico de infección por H. pylori en una población de la ciudad de Guayaquil (Ecuador) y determinar su mejor valor de corte.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REVISIONES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Prevención del cáncer gástrico: una tarea difícil pero factible.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Lucia C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Fry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Klaus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Mönkemüller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Peter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Malfertheiner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Fístulas digestivas y terapia nutricional.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Antonio Carlos L Campos,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Alessandra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Borges Branco, Jorge Eduardo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Fouto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Matias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Letícia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Fuganti</w:t>
      </w:r>
      <w:proofErr w:type="spellEnd"/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Campos.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RESUMEN SELECCIONADO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Nuevas estrategias para un mejor uso del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Interferon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pegilado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asociado a la </w:t>
      </w:r>
      <w:proofErr w:type="spellStart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Ribavirina</w:t>
      </w:r>
      <w:proofErr w:type="spellEnd"/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el tratamiento de la hepatitis crónica C y nuevas drogas con acción específica contra el virus C de la hepatitis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Alberto E Muñoz.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626FD8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Eventos nacionales e internacionales / SAGE: Actividad académica 2007 ENDIBA: Actividad académica 2007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626FD8" w:rsidRPr="00626FD8" w:rsidRDefault="00626FD8" w:rsidP="00626FD8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626FD8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lastRenderedPageBreak/>
        <w:t>&gt; OBITUARIO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  <w:t>•</w:t>
      </w:r>
      <w:r w:rsidRPr="00626FD8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Profesor Doctor Manuel Casal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626FD8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626FD8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2965BF" w:rsidRPr="00626FD8" w:rsidRDefault="00626FD8" w:rsidP="00626FD8"/>
    <w:sectPr w:rsidR="002965BF" w:rsidRPr="00626FD8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72F87"/>
    <w:rsid w:val="001B526B"/>
    <w:rsid w:val="001C2233"/>
    <w:rsid w:val="001D5F4A"/>
    <w:rsid w:val="00213F4A"/>
    <w:rsid w:val="00214580"/>
    <w:rsid w:val="00222DE7"/>
    <w:rsid w:val="002521E8"/>
    <w:rsid w:val="00266B8D"/>
    <w:rsid w:val="002C7490"/>
    <w:rsid w:val="00361AC9"/>
    <w:rsid w:val="00374AAD"/>
    <w:rsid w:val="003775C5"/>
    <w:rsid w:val="003E25B2"/>
    <w:rsid w:val="003E5419"/>
    <w:rsid w:val="004150A9"/>
    <w:rsid w:val="004665DB"/>
    <w:rsid w:val="0049583E"/>
    <w:rsid w:val="004A1B62"/>
    <w:rsid w:val="004C6DDF"/>
    <w:rsid w:val="004E082B"/>
    <w:rsid w:val="00502EBD"/>
    <w:rsid w:val="00523F68"/>
    <w:rsid w:val="00526858"/>
    <w:rsid w:val="005475B3"/>
    <w:rsid w:val="00575C09"/>
    <w:rsid w:val="005919CB"/>
    <w:rsid w:val="005A15AC"/>
    <w:rsid w:val="005E0334"/>
    <w:rsid w:val="005E23D6"/>
    <w:rsid w:val="0060231E"/>
    <w:rsid w:val="00626FD8"/>
    <w:rsid w:val="00645554"/>
    <w:rsid w:val="006C620C"/>
    <w:rsid w:val="006C6D52"/>
    <w:rsid w:val="00707860"/>
    <w:rsid w:val="00726839"/>
    <w:rsid w:val="00792B27"/>
    <w:rsid w:val="007943AF"/>
    <w:rsid w:val="007A1C51"/>
    <w:rsid w:val="007C2C22"/>
    <w:rsid w:val="0083260D"/>
    <w:rsid w:val="00853B49"/>
    <w:rsid w:val="00860293"/>
    <w:rsid w:val="008622D0"/>
    <w:rsid w:val="00870128"/>
    <w:rsid w:val="00897EF2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9519A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4640"/>
    <w:rsid w:val="00C97615"/>
    <w:rsid w:val="00CA47A8"/>
    <w:rsid w:val="00D2173D"/>
    <w:rsid w:val="00DD193D"/>
    <w:rsid w:val="00E12A8C"/>
    <w:rsid w:val="00E34953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7/n2/2007_num2_91-98_05.pdf" TargetMode="External"/><Relationship Id="rId13" Type="http://schemas.openxmlformats.org/officeDocument/2006/relationships/hyperlink" Target="http://www.actagastro.org/actas/2007/n2/2007_num2_126-133_1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tagastro.org/actas/2007/n2/2007_num2_84-90_04.pdf" TargetMode="External"/><Relationship Id="rId12" Type="http://schemas.openxmlformats.org/officeDocument/2006/relationships/hyperlink" Target="http://actagastro.org/actas/2007/n2/2007_num2_118-125_09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7/n2/2007_num2_76-83_03.pdf" TargetMode="External"/><Relationship Id="rId11" Type="http://schemas.openxmlformats.org/officeDocument/2006/relationships/hyperlink" Target="http://www.actagastro.org/actas/2007/n2/2007_num2_110-117_08.pdf" TargetMode="External"/><Relationship Id="rId5" Type="http://schemas.openxmlformats.org/officeDocument/2006/relationships/hyperlink" Target="http://www.actagastro.org/actas/2007/n2/2007_num2_75_02.pdf" TargetMode="External"/><Relationship Id="rId15" Type="http://schemas.openxmlformats.org/officeDocument/2006/relationships/hyperlink" Target="http://www.actagastro.org/actas/2007/n2/2007_num2_138-139_14.pdf" TargetMode="External"/><Relationship Id="rId10" Type="http://schemas.openxmlformats.org/officeDocument/2006/relationships/hyperlink" Target="http://www.actagastro.org/actas/2007/n2/2007_num2_104-109_07.pdf" TargetMode="External"/><Relationship Id="rId4" Type="http://schemas.openxmlformats.org/officeDocument/2006/relationships/hyperlink" Target="http://www.actagastro.org/actas/2007/n2/2007_num2_74_01.pdf" TargetMode="External"/><Relationship Id="rId9" Type="http://schemas.openxmlformats.org/officeDocument/2006/relationships/hyperlink" Target="http://www.actagastro.org/actas/2007/n2/2007_num2_99-103_06.pdf" TargetMode="External"/><Relationship Id="rId14" Type="http://schemas.openxmlformats.org/officeDocument/2006/relationships/hyperlink" Target="http://www.actagastro.org/actas/2007/n2/2007_num2_134-135_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2015-08-22T17:46:00Z</dcterms:created>
  <dcterms:modified xsi:type="dcterms:W3CDTF">2015-08-22T17:47:00Z</dcterms:modified>
</cp:coreProperties>
</file>