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Imágenes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yeyunales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paciente con trasplante intestinal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Fabio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Nachman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Ruf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Gabriel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Gondolesi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Eduardo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Mauriño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Hemorragia digestiva de origen oscuro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Andrés D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Wonaga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Víctor Serafini, Luis Viola</w:t>
      </w:r>
      <w:r w:rsidRPr="00A433C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02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Pancreatitis de causa infrecuente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Hernán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Ianniccillo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Diego Caniggia, David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Zagalsky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Vicente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Fucile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A433C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Cambios en el equipo editorial de ACTA para continuar el camino ascendente con nuevos impulsos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Julio C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Bai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OPINIÓN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Reflexiones sobre investigación y publicaciones. ¿Por qué publica poco la gastroenterología argentina? Consideraciones sobre un análisis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bibliométrico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de publicaciones argentinas en gastroenterología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Fernando J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Barreyro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Justus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Krabshuis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Marcela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Planzer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del Campo, Julio C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Bai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RESEÑAS HISTÓRICAS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Enrique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Finochietto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Romina A Parquet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MANUSCRITOS ORIGINALES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Esfinterotomía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sobre balón en pacientes portadores de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coledocolitiasis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y gastrectomía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Billroth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II: un nuevo método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Everson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Artifon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Décio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Couto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Alex Navarro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La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esfinterotomía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sobre balón es un método eficaz y seguro en los pacientes con gastrectomía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lastRenderedPageBreak/>
        <w:t>Billroth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II y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canulación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difícil de la papila.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¿Es la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antibióticoterapia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profiláctica con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Imipenem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efectiva en los pacientes con necrosis pancreática?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Luis Barreda, Javier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Targarona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William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Milian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José Portugal, Joel Sequeiros, Elizabeth Pando, Juan Luis Calisto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Los autores no encontraron que el uso de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imipenem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en pacientes con necrosis pancreática reduzca significativamente la infección, las complicaciones sépticas y el número de cirugías.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La proteína transportadora del factor de crecimiento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insulínico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Tipo 1: ¿un nuevo marcador para la enfermedad hepática grasa no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alchólica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?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Mabel Nora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Graffigna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Susana H Belli, Gabriela de Larrañaga, Hugo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Fainboim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Claudio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Estepo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Silvia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Peres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Natalia García, Oscar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Levalle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Este estudio muestra que la disminución de la proteína transportadora del factor de crecimiento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insulínico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tipo 1 se correlaciona con la enfermedad hepática grasa no alcohólica pero no es mejor marcador que los previamente conocidos.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Avaliação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força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da musculatura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respiratória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, pico de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fluxo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expiratório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dor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após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colecistectomía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aberta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Aline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Silva de Miranda,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Rômulo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Dias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Novaes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Alex Erickson Ferreira, Miguel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Pontes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Correia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Neves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Clynton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Lourenço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Corrêa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Vanessa Amaral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Mendonça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>Se observó que la colecistectomía abierta provoca una pérdida significativa de la fuerza muscular respiratoria y el flujo espiratorio máximo en el post-operatorio.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Etiología del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hepatocarcinoma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Argentina: resultados de un estudio </w:t>
      </w:r>
      <w:proofErr w:type="spellStart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multicéntrico</w:t>
      </w:r>
      <w:proofErr w:type="spellEnd"/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retrospectivo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Eduardo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Fassio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Carlos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Míguez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Sonia Soria, Francisco Palazzo, Adrián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Gadano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Raúl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Adrover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Graciela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Landeira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Nora Fernández, Daniel García, Rodolfo Barbero, Graciela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Perelstein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Beatriz Ríos, Rogelio Isla,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Élida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Civetta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Roberto Pérez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Ravier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Sergio Barzola, José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Curciarello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Luis 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Colombato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Alejandro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Jmeniltzky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 xml:space="preserve">Este estudio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multicéntrico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sobre la etiología del carcinoma </w:t>
      </w:r>
      <w:proofErr w:type="spellStart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hepatocelular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es el primero publicado en la Argentina. La cirrosis alcohólica y la hepatitis C fueron las principales causas (76% de los 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lastRenderedPageBreak/>
        <w:t>casos).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&gt;CASOS CLÍNICOS</w:t>
      </w:r>
      <w:r w:rsidRPr="00A433C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Crisis celíaca: presentación con diátesis hemorrágica</w:t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Sebastián Gutiérrez, Martín Toro, Alejandro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Cassar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Rodrigo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Ongay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Jorge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Isaguirre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Candelaria López, Laura Benedetti</w:t>
      </w:r>
      <w:r w:rsidRPr="00A433C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REVISIÓN</w:t>
      </w:r>
      <w:r w:rsidRPr="00A433C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Alteraciones genéticas, inestabilidad genómica y cáncer en enfermedad celíaca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Ariela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Fundia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Irene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Larripa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Irma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Slavutsky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13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Trasplante intestinal. Revisión y descripción de su evolución en Latinoamérica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Gabriel E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Gondolesi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Carolina Rumbo, Adriana Fernández, Eduardo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Mauriño</w:t>
      </w:r>
      <w:proofErr w:type="spellEnd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Andrés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Ruf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LITERATURA SELECCIONADA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La genómica llega a la clínica en el cáncer de colon</w:t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Gustavo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Jankilevich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LATINOAMERICANOS EN LA LITERATURA INTERNACIONAL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Trabajos originales de gastroenterología publicados por chilenos en revistas internacionales</w:t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 Sáenz, J </w:t>
      </w:r>
      <w:proofErr w:type="spellStart"/>
      <w:r w:rsidRPr="00A433C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Parietti</w:t>
      </w:r>
      <w:proofErr w:type="spellEnd"/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9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16</w:t>
      </w:r>
    </w:p>
    <w:p w:rsidR="00A433C3" w:rsidRPr="00A433C3" w:rsidRDefault="00A433C3" w:rsidP="00A433C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A433C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A433C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Fechas de interés / Novedades de la página web</w:t>
      </w:r>
      <w:r w:rsidRPr="00A433C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20" w:tgtFrame="_blank" w:history="1">
        <w:r w:rsidRPr="00A433C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17</w:t>
      </w:r>
    </w:p>
    <w:p w:rsidR="002965BF" w:rsidRPr="00A433C3" w:rsidRDefault="00B0245E" w:rsidP="00A433C3">
      <w:pPr>
        <w:rPr>
          <w:lang w:val="es-ES"/>
        </w:rPr>
      </w:pPr>
    </w:p>
    <w:sectPr w:rsidR="002965BF" w:rsidRPr="00A433C3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9583E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n1/2009_num1_9_17.pdf" TargetMode="External"/><Relationship Id="rId13" Type="http://schemas.openxmlformats.org/officeDocument/2006/relationships/hyperlink" Target="http://www.actagastro.org/actas/2009/n1/2009_num1_38_46.pdf" TargetMode="External"/><Relationship Id="rId18" Type="http://schemas.openxmlformats.org/officeDocument/2006/relationships/hyperlink" Target="http://www.actagastro.org/actas/2009/n1/2009_num1_81_84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ctagastro.org/actas/2009/n1/2009_num1_7_8.pdf" TargetMode="External"/><Relationship Id="rId12" Type="http://schemas.openxmlformats.org/officeDocument/2006/relationships/hyperlink" Target="http://www.actagastro.org/actas/2009/n1/2009_num1_30_37.pdf" TargetMode="External"/><Relationship Id="rId17" Type="http://schemas.openxmlformats.org/officeDocument/2006/relationships/hyperlink" Target="http://www.actagastro.org/actas/2009/n1/2009_num1_63_8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n1/2009_num1_55_62.pdf" TargetMode="External"/><Relationship Id="rId20" Type="http://schemas.openxmlformats.org/officeDocument/2006/relationships/hyperlink" Target="http://www.actagastro.org/actas/2009/n1/2009_num1_90_9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n1/2009_num1_6.pdf" TargetMode="External"/><Relationship Id="rId11" Type="http://schemas.openxmlformats.org/officeDocument/2006/relationships/hyperlink" Target="http://www.actagastro.org/actas/2009/n1/2009_num1_24_29.pdf" TargetMode="External"/><Relationship Id="rId5" Type="http://schemas.openxmlformats.org/officeDocument/2006/relationships/hyperlink" Target="http://www.actagastro.org/actas/2009/n1/2009_num1_5.pdf" TargetMode="External"/><Relationship Id="rId15" Type="http://schemas.openxmlformats.org/officeDocument/2006/relationships/hyperlink" Target="http://www.actagastro.org/actas/2009/n1/2009_num1_53_54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actagastro.org/actas/2009/n1/2009_num1_19_23.pdf" TargetMode="External"/><Relationship Id="rId19" Type="http://schemas.openxmlformats.org/officeDocument/2006/relationships/hyperlink" Target="http://www.actagastro.org/actas/2009/n1/2009_num1_85_89.pdf" TargetMode="External"/><Relationship Id="rId4" Type="http://schemas.openxmlformats.org/officeDocument/2006/relationships/hyperlink" Target="http://www.actagastro.org/actas/2009/n1/2009_num1_4.pdf" TargetMode="External"/><Relationship Id="rId9" Type="http://schemas.openxmlformats.org/officeDocument/2006/relationships/hyperlink" Target="http://www.actagastro.org/actas/2009/n1/2009_num1_18.pdf" TargetMode="External"/><Relationship Id="rId14" Type="http://schemas.openxmlformats.org/officeDocument/2006/relationships/hyperlink" Target="http://www.actagastro.org/actas/2009/n1/2009_num1_47_5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2</cp:revision>
  <dcterms:created xsi:type="dcterms:W3CDTF">2015-08-22T16:03:00Z</dcterms:created>
  <dcterms:modified xsi:type="dcterms:W3CDTF">2015-08-22T16:03:00Z</dcterms:modified>
</cp:coreProperties>
</file>