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IMAGEN DEL NÚMERO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Trombosis de la vena porta en un paciente con colitis ulcerosa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Peter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Rauh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Klaus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Mönkemüller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Steffen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Rickes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4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01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Solución del caso: Trombosis de la vena porta en un paciente con colitis ulcerosa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5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02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Estenosis de colon transverso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Christian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Koziura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Enrique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Risoli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Raquel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Ratto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Adriana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Bosolino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Carlos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Marzano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6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03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•Solución del caso: Estenosis de colon transverso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7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04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EDITORIAL</w:t>
      </w:r>
      <w:r w:rsidRPr="000F1AC9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SAGE 2009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Luis Viola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8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05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RESEÑAS HISTÓRICAS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Charles Heber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McBurney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Acta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Gastroenterol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Latinoam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2009</w:t>
      </w:r>
      <w:proofErr w:type="gram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;39:102</w:t>
      </w:r>
      <w:proofErr w:type="gramEnd"/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9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06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MANUSCRITO ORIGINAL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Anemia en pacientes internados con cirrosis: prevalencia, significación clínica y factores predictivos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Sebastián Alfonso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Mathurin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Andrés Pablo Agüero, Natalia Andrea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Dascani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Jorgelina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Ana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Prestera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Carina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Gianserra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Eliana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Londero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Carolina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Chiorra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0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07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Hepatobiliary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abnormalities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in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pediatric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patients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with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sickle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cell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disease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Roberto Paulo Almeida,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Cibele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Dantas Ferreira,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Joseni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Conceição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Rita Franca, Isa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Lyra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Luciana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Rodrigues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Silv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a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1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08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lastRenderedPageBreak/>
        <w:t xml:space="preserve">• Tumores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subepiteliales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del tracto gastrointestinal</w:t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Silvio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Stupnik</w:t>
      </w:r>
      <w:proofErr w:type="gram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,Claudio</w:t>
      </w:r>
      <w:proofErr w:type="spellEnd"/>
      <w:proofErr w:type="gram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Rafaelli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Graciela Osorio González, María Luján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Pestalardo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Matías Quesada, Pedro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Viúdez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2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09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&gt;CASOS CLÍNICOS</w:t>
      </w:r>
      <w:r w:rsidRPr="000F1AC9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Cisto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de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duplicação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do duodeno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com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cálculos: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Apresentação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de caso</w:t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Ana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Kober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Nogueira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Leite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André Ibrahim David,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Luiz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Arnaldo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Szutan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3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10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Linfoma no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Hodgkin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fulminante presentándose con acidosis láctica e insuficiencia hepática aguda: reporte de caso y revisión de la literatura</w:t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Guillermo Flores Padilla, Marco Antonio Alba Garibay,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Haiko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Nellen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Hummel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Renata Ávila, Alejandra Méndez, Rocío Ramírez </w:t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hyperlink r:id="rId14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11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REVISIÓN</w:t>
      </w:r>
      <w:r w:rsidRPr="000F1AC9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Enfermedad de Crohn y colitis ulcerosa: discusión de la epidemiología clásica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Beatriz Sicilia, Raquel Vicente, Fernando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Gomollón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 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5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12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n-US" w:eastAsia="es-ES"/>
        </w:rPr>
        <w:t>&gt;INVESTIGACIÓN ARGENTINA</w:t>
      </w: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n-U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 xml:space="preserve">• Long- term prospective assessment of quality of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>lifein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 xml:space="preserve"> celiac disease patients. Deterioration at four-years on treatment</w:t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n-US" w:eastAsia="es-ES"/>
        </w:rPr>
        <w:br/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Nachman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F,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Planzer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del Campo M, González A,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Corzo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L, Vázquez H,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Sfoggia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C,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Smecuol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E, Pinto Sánchez I,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Niveloni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S,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Sugai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E, Hwang HJ,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Mazure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R, </w:t>
      </w:r>
      <w:proofErr w:type="spellStart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Mauriño</w:t>
      </w:r>
      <w:proofErr w:type="spellEnd"/>
      <w:r w:rsidRPr="000F1AC9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E, Bai JC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br/>
      </w:r>
      <w:hyperlink r:id="rId16" w:tgtFrame="_blank" w:history="1">
        <w:proofErr w:type="spellStart"/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n-US" w:eastAsia="es-ES"/>
          </w:rPr>
          <w:t>Archivo</w:t>
        </w:r>
        <w:proofErr w:type="spellEnd"/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n-US" w:eastAsia="es-ES"/>
          </w:rPr>
          <w:t xml:space="preserve"> PDF</w:t>
        </w:r>
      </w:hyperlink>
      <w:r w:rsidRPr="0014221E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t>13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LATINOAMERICANOS EN LA LITERATURA INTERNACIONAL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La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Dra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Silvia Pedreira del Servicio de Gastroenterología del</w:t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Hospital Alemán de Buenos Aires ha realizado una minuciosa búsqueda en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PubMed</w:t>
      </w:r>
      <w:proofErr w:type="spellEnd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y Lilacs</w:t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hyperlink r:id="rId17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14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OBITUARIOS</w:t>
      </w:r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Doctor Leonardo </w:t>
      </w:r>
      <w:proofErr w:type="spellStart"/>
      <w:r w:rsidRPr="000F1AC9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Pinchuk</w:t>
      </w:r>
      <w:proofErr w:type="spellEnd"/>
      <w:r w:rsidRPr="000F1AC9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8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15</w:t>
      </w:r>
    </w:p>
    <w:p w:rsidR="006C4EE2" w:rsidRPr="000F1AC9" w:rsidRDefault="006C4EE2" w:rsidP="006C4EE2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lastRenderedPageBreak/>
        <w:t>&gt; NOTICIAS</w:t>
      </w:r>
      <w:r w:rsidRPr="000F1AC9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br/>
      </w:r>
      <w:hyperlink r:id="rId19" w:tgtFrame="_blank" w:history="1">
        <w:r w:rsidRPr="000F1AC9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16</w:t>
      </w:r>
    </w:p>
    <w:p w:rsidR="002965BF" w:rsidRPr="006C4EE2" w:rsidRDefault="006C4EE2" w:rsidP="006C4EE2">
      <w:bookmarkStart w:id="0" w:name="_GoBack"/>
      <w:bookmarkEnd w:id="0"/>
    </w:p>
    <w:sectPr w:rsidR="002965BF" w:rsidRPr="006C4EE2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4580"/>
    <w:rsid w:val="000A1CE7"/>
    <w:rsid w:val="000B5D8F"/>
    <w:rsid w:val="00112B23"/>
    <w:rsid w:val="0012586B"/>
    <w:rsid w:val="0016768B"/>
    <w:rsid w:val="00167910"/>
    <w:rsid w:val="001B526B"/>
    <w:rsid w:val="001C2233"/>
    <w:rsid w:val="001D5F4A"/>
    <w:rsid w:val="00213F4A"/>
    <w:rsid w:val="00214580"/>
    <w:rsid w:val="002521E8"/>
    <w:rsid w:val="00266B8D"/>
    <w:rsid w:val="002C7490"/>
    <w:rsid w:val="00374AAD"/>
    <w:rsid w:val="003775C5"/>
    <w:rsid w:val="003E25B2"/>
    <w:rsid w:val="003E5419"/>
    <w:rsid w:val="004150A9"/>
    <w:rsid w:val="004C6DDF"/>
    <w:rsid w:val="004E082B"/>
    <w:rsid w:val="00502EBD"/>
    <w:rsid w:val="005475B3"/>
    <w:rsid w:val="00575C09"/>
    <w:rsid w:val="005919CB"/>
    <w:rsid w:val="005A15AC"/>
    <w:rsid w:val="005E0334"/>
    <w:rsid w:val="0060231E"/>
    <w:rsid w:val="006C4EE2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E6D0A"/>
    <w:rsid w:val="00A3640E"/>
    <w:rsid w:val="00A45B1C"/>
    <w:rsid w:val="00A4707C"/>
    <w:rsid w:val="00A842E0"/>
    <w:rsid w:val="00A962B9"/>
    <w:rsid w:val="00AC1949"/>
    <w:rsid w:val="00B00077"/>
    <w:rsid w:val="00B1581E"/>
    <w:rsid w:val="00B22B38"/>
    <w:rsid w:val="00B5333A"/>
    <w:rsid w:val="00B56F05"/>
    <w:rsid w:val="00BA5D35"/>
    <w:rsid w:val="00BE407A"/>
    <w:rsid w:val="00BE5E29"/>
    <w:rsid w:val="00BE7961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49601-BD23-466E-A8D7-AFE02800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9/n2/39_2_2009_4.pdf" TargetMode="External"/><Relationship Id="rId13" Type="http://schemas.openxmlformats.org/officeDocument/2006/relationships/hyperlink" Target="http://www.actagastro.org/actas/2009/n2/39_2_2009_9.pdf" TargetMode="External"/><Relationship Id="rId18" Type="http://schemas.openxmlformats.org/officeDocument/2006/relationships/hyperlink" Target="http://www.actagastro.org/actas/2009/n2/39_2_2009_14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actagastro.org/actas/2009/n2/39_2_2009_17.pdf" TargetMode="External"/><Relationship Id="rId12" Type="http://schemas.openxmlformats.org/officeDocument/2006/relationships/hyperlink" Target="http://www.actagastro.org/actas/2009/n2/39_2_2009_8.pdf" TargetMode="External"/><Relationship Id="rId17" Type="http://schemas.openxmlformats.org/officeDocument/2006/relationships/hyperlink" Target="http://www.actagastro.org/actas/2009/n2/39_2_2009_1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09/n2/39_2_2009_12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9/n2/39_2_2009_3.pdf" TargetMode="External"/><Relationship Id="rId11" Type="http://schemas.openxmlformats.org/officeDocument/2006/relationships/hyperlink" Target="http://www.actagastro.org/actas/2009/n2/39_2_2009_7.pdf" TargetMode="External"/><Relationship Id="rId5" Type="http://schemas.openxmlformats.org/officeDocument/2006/relationships/hyperlink" Target="http://www.actagastro.org/actas/2009/n2/39_2_2009_16.pdf" TargetMode="External"/><Relationship Id="rId15" Type="http://schemas.openxmlformats.org/officeDocument/2006/relationships/hyperlink" Target="http://www.actagastro.org/actas/2009/n2/39_2_2009_11.pdf" TargetMode="External"/><Relationship Id="rId10" Type="http://schemas.openxmlformats.org/officeDocument/2006/relationships/hyperlink" Target="http://www.actagastro.org/actas/2009/n2/39_2_2009_6.pdf" TargetMode="External"/><Relationship Id="rId19" Type="http://schemas.openxmlformats.org/officeDocument/2006/relationships/hyperlink" Target="http://www.actagastro.org/actas/2009/n2/39_2_2009_15.pdf" TargetMode="External"/><Relationship Id="rId4" Type="http://schemas.openxmlformats.org/officeDocument/2006/relationships/hyperlink" Target="http://www.actagastro.org/actas/2009/n2/39_2_2009_2.pdf" TargetMode="External"/><Relationship Id="rId9" Type="http://schemas.openxmlformats.org/officeDocument/2006/relationships/hyperlink" Target="http://www.actagastro.org/actas/2009/n2/39_2_2009_5.pdf" TargetMode="External"/><Relationship Id="rId14" Type="http://schemas.openxmlformats.org/officeDocument/2006/relationships/hyperlink" Target="http://www.actagastro.org/actas/2009/n2/39_2_2009_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2015-08-22T15:33:00Z</dcterms:created>
  <dcterms:modified xsi:type="dcterms:W3CDTF">2015-12-27T17:37:00Z</dcterms:modified>
</cp:coreProperties>
</file>