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Introducción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Epidemiología. La experiencia del registro de TNE-GEP en Brasil.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Riad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Younes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02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Claves en el diagnóstico histopatológico de los TNE-GEP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Enzo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Domenichini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 nueva clasificación de la OMS. Nuevos desafíos.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Víctor Zamora.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Consideraciones clínicas basadas en la patología. Introducción a las guías de ENETS.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Gianfranco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Delle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Fave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Marcadores biológicos en TNE-GEP: 5HIAA,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Cromogranina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sérica,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Catecolaminas</w:t>
      </w:r>
      <w:proofErr w:type="spellEnd"/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Susana Belli.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Síndromes hereditarios en TNE-GEP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Patricia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Fainstein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Day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&gt;Imágenes en TNE-GEP. El diagnóstico y la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estadificación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Aron J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Belfer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Carcinoma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neuroendócrino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bien diferenciado: formas de presentación y consideraciones terapéuticas basadas en la patología, en la clínica y en la evidencia científica.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Juan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O´Connor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lastRenderedPageBreak/>
        <w:t xml:space="preserve">&gt; Rol de la cirugía en TNE en enfermedad primaria y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metastásica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Riad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Younes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Carcinoma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neuroendócrino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de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páncreas</w:t>
      </w:r>
      <w:proofErr w:type="gram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.¿</w:t>
      </w:r>
      <w:proofErr w:type="gram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Debe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ser abordado igual que un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adenocarcinoma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?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Eduardo Huertas, Fernando Sánchez Loria.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Rol de la medicina nuclear en el tratamiento de los TNE-GEP. La experiencia del Brasil con PRRT: ¿Una opción terapéutica en primera línea?</w:t>
      </w: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Aron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Belfer</w:t>
      </w:r>
      <w:proofErr w:type="spellEnd"/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Tumores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neuroendócrinos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bien diferenciados. Conductas terapéuticas en carcinoides gástricos, apendiculares y rectales.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Gianfranco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Delle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Fave</w:t>
      </w:r>
      <w:proofErr w:type="spellEnd"/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Metástasis hepáticas de tumores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neuroendócrinos</w:t>
      </w:r>
      <w:proofErr w:type="gram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.¿</w:t>
      </w:r>
      <w:proofErr w:type="gram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Cuán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agresivos debemos ser?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Gustavo Podestá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Rol de los análogos de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somatostatina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. Manejo del síndrome carcinoide: ¿un efecto anti-tumoral?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Gianfranco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Delle</w:t>
      </w:r>
      <w:proofErr w:type="spellEnd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Fave</w:t>
      </w:r>
      <w:proofErr w:type="spellEnd"/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49583E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&gt; Quimioterapia en pacientes con carcinomas </w:t>
      </w:r>
      <w:proofErr w:type="spellStart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neuroendócrinos</w:t>
      </w:r>
      <w:proofErr w:type="spellEnd"/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 xml:space="preserve"> pobremente diferenciados.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Enrique Roca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9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2965BF" w:rsidRPr="0049583E" w:rsidRDefault="0049583E" w:rsidP="0049583E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49583E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Quimioterapia clásica y la incorporación de nuevas terapias dirigidas a blancos moleculares en TNE-GEP.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49583E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Guillermo Méndez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49583E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20" w:tgtFrame="_blank" w:history="1">
        <w:r w:rsidRPr="0049583E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17</w:t>
      </w:r>
    </w:p>
    <w:sectPr w:rsidR="002965BF" w:rsidRPr="0049583E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9583E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05542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suplemento/sup39_2009_4.pdf" TargetMode="External"/><Relationship Id="rId13" Type="http://schemas.openxmlformats.org/officeDocument/2006/relationships/hyperlink" Target="http://www.actagastro.org/actas/2009/suplemento/sup39_2009_9.pdf" TargetMode="External"/><Relationship Id="rId18" Type="http://schemas.openxmlformats.org/officeDocument/2006/relationships/hyperlink" Target="http://www.actagastro.org/actas/2009/suplemento/sup39_2009_14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ctagastro.org/actas/2009/suplemento/sup39_2009_3.pdf" TargetMode="External"/><Relationship Id="rId12" Type="http://schemas.openxmlformats.org/officeDocument/2006/relationships/hyperlink" Target="http://www.actagastro.org/actas/2009/suplemento/sup39_2009_8.pdf" TargetMode="External"/><Relationship Id="rId17" Type="http://schemas.openxmlformats.org/officeDocument/2006/relationships/hyperlink" Target="http://www.actagastro.org/actas/2009/suplemento/sup39_2009_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suplemento/sup39_2009_12.pdf" TargetMode="External"/><Relationship Id="rId20" Type="http://schemas.openxmlformats.org/officeDocument/2006/relationships/hyperlink" Target="http://www.actagastro.org/actas/2009/suplemento/sup39_2009_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suplemento/sup39_2009_2.pdf" TargetMode="External"/><Relationship Id="rId11" Type="http://schemas.openxmlformats.org/officeDocument/2006/relationships/hyperlink" Target="http://www.actagastro.org/actas/2009/suplemento/sup39_2009_7.pdf" TargetMode="External"/><Relationship Id="rId5" Type="http://schemas.openxmlformats.org/officeDocument/2006/relationships/hyperlink" Target="http://www.actagastro.org/actas/2009/suplemento/sup39_2009_1.pdf" TargetMode="External"/><Relationship Id="rId15" Type="http://schemas.openxmlformats.org/officeDocument/2006/relationships/hyperlink" Target="http://www.actagastro.org/actas/2009/suplemento/sup39_2009_11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actagastro.org/actas/2009/suplemento/sup39_2009_6.pdf" TargetMode="External"/><Relationship Id="rId19" Type="http://schemas.openxmlformats.org/officeDocument/2006/relationships/hyperlink" Target="http://www.actagastro.org/actas/2009/suplemento/sup39_2009_15.pdf" TargetMode="External"/><Relationship Id="rId4" Type="http://schemas.openxmlformats.org/officeDocument/2006/relationships/hyperlink" Target="http://www.actagastro.org/actas/2009/suplemento/sup39_2009_introduccion.pdf" TargetMode="External"/><Relationship Id="rId9" Type="http://schemas.openxmlformats.org/officeDocument/2006/relationships/hyperlink" Target="http://www.actagastro.org/actas/2009/suplemento/sup39_2009_5.pdf" TargetMode="External"/><Relationship Id="rId14" Type="http://schemas.openxmlformats.org/officeDocument/2006/relationships/hyperlink" Target="http://www.actagastro.org/actas/2009/suplemento/sup39_2009_1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2</cp:revision>
  <dcterms:created xsi:type="dcterms:W3CDTF">2015-08-22T15:47:00Z</dcterms:created>
  <dcterms:modified xsi:type="dcterms:W3CDTF">2015-08-22T15:47:00Z</dcterms:modified>
</cp:coreProperties>
</file>