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  <w:bookmarkStart w:id="0" w:name="_GoBack"/>
      <w:bookmarkEnd w:id="0"/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Abdomen agudo doloroso en hipocondrio derecho: Una causa inusual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Diego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Haberman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Mariela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Castignola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Adriana Martínez, Hugo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Paladini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Miguel Toda, Enrique M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Baldessari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Diego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Ramisch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Gondolesi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Abdomen agudo doloroso en hipocondrio derecho: Una causa inusual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•</w:t>
      </w: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Hemorragia digestiva en paciente inmunocomprometido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Carolina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Ozollo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Landa, Andrés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Wonaga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Alejandra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Avagnina</w:t>
      </w:r>
      <w:proofErr w:type="spellEnd"/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Solución del caso: Hemorragia digestiva en paciente inmunocomprometido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EDITORIAL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SAGE 2012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Claudio </w:t>
      </w:r>
      <w:proofErr w:type="spellStart"/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Bilder</w:t>
      </w:r>
      <w:proofErr w:type="spellEnd"/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RESEÑAS HISTÓRICAS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Ignacio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Pirovano</w:t>
      </w:r>
      <w:proofErr w:type="spellEnd"/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Romina 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Parquet</w:t>
      </w:r>
      <w:proofErr w:type="spellEnd"/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 ORIGINAL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Incidence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of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inflammatory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bowel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disease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five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geographical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areas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of Uruguay in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the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biennial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2007-2008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Gaby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Buenavida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Andrea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Casañas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Cecilia Vásquez, Magdalena De Souza, Laura Martínez, Inés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Gardil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Anaulina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Silveira, Beatriz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Iade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Indicadores de calidad en colonoscopía en el Policlínico Peruano Japonés: Factores relacionados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Víctor Parra Pérez, José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Watanabe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Yamamoto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Augusto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Nago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Nago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Magdalena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Astete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Benavides, Carlos Rodríguez Ulloa, Guillermo Valladares Álvarez, Nora Núñez Calixto, Max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Yoza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Yoshidaira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Tallulah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Gargurevich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Sánchez, Juan Pinto Sánchez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lastRenderedPageBreak/>
        <w:t>•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Peristomal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infection in percutaneous endoscopic gastrostomy (PEG): A comparative study of two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gastropexy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techniques in a before-and-after design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Paulo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Moacir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Oliveira Campoli, Daniela Medeiros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Milhomem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Cardoso,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Marília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Dalva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Turchi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Flávio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Hayato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Ejima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Orlando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Milhomem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Mota</w:t>
      </w:r>
      <w:proofErr w:type="spellEnd"/>
      <w:r w:rsidRPr="005E0334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14" w:tgtFrame="_blank" w:history="1">
        <w:proofErr w:type="spellStart"/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5E0334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10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•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Choledochal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cyst in pediatric patients: a 10 years single institution experience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Micaela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Germani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Daniel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Liberto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Gastón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Elmo, Pablo Lobos, Eduardo Ruiz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15" w:tgtFrame="_blank" w:history="1">
        <w:proofErr w:type="spellStart"/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5E0334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11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Sarcoma de Kaposi gastrointestinal asociado a síndrome de inmunodeficiencia adquirida. Descripción de un caso.</w:t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Félix Jiménez, Yanina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Barbaglia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Luciana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Juarez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Pamela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Bucci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Fabián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Tedeschi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Fabián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Zalazar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Hemorragia digestiva y perforación intestinal secundarias a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panarteritis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nodosa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 un paciente con enfermedad celíaca. Presentación de un caso</w:t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Fernando Van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Domselaar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María D Matoso, Héctor L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Piccioni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Emilio Varela, Mariano M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Marcolongo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Bonadeo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G Ojea Quintana, Demetrio Cavadas, Eduardo G Mullen, Juan De Paula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• Management of duodenal perforation following upper gastrointestinal endoscopy. A safe and feasible alternative</w:t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br/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Rizwan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Ahmad Khan, KL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Narasimhan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18" w:tgtFrame="_blank" w:history="1">
        <w:proofErr w:type="spellStart"/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5E0334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14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Hiperplasia nodular regenerativa en HIV</w:t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Ramiro Javier Romo González, Emiliano Chaves, Eduardo Mullen,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Hercilia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Copello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Derivación biliar externa parcial: Alternativa terapéutica en el síndrome de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Alagille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. Primer caso en la Argentina</w:t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Carolina Rumbo, Marcelo Sandi, Juan M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Padín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Pablo Farinelli, Diego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Ramisch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Pablo Barros-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Schelotto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Cabanne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Dolores García, Julio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Trentadue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Gabriel E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Gondolesi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</w:pP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•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Xanthogranulomatous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cholecystitis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: case series in a rural area,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>clinicopathological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val="en-US" w:eastAsia="es-AR"/>
        </w:rPr>
        <w:t xml:space="preserve"> study and review of literature</w:t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br/>
        <w:t xml:space="preserve">Rikki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Singal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Samita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Gupta, Pinky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Pande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Bir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Singh, Amit Mittal,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Bikash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Naredi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Deepesh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 xml:space="preserve"> Benjamin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Kenwar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val="en-US" w:eastAsia="es-AR"/>
        </w:rPr>
        <w:t>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br/>
      </w:r>
      <w:hyperlink r:id="rId21" w:tgtFrame="_blank" w:history="1">
        <w:proofErr w:type="spellStart"/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>Archivo</w:t>
        </w:r>
        <w:proofErr w:type="spellEnd"/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val="en-US" w:eastAsia="es-AR"/>
          </w:rPr>
          <w:t xml:space="preserve"> PDF</w:t>
        </w:r>
      </w:hyperlink>
      <w:r w:rsidRPr="005E0334">
        <w:rPr>
          <w:rFonts w:ascii="Verdana" w:eastAsia="Times New Roman" w:hAnsi="Verdana" w:cs="Times New Roman"/>
          <w:color w:val="666666"/>
          <w:sz w:val="15"/>
          <w:szCs w:val="15"/>
          <w:lang w:val="en-US" w:eastAsia="es-AR"/>
        </w:rPr>
        <w:t>17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lastRenderedPageBreak/>
        <w:t>&gt; REVISIÓN</w:t>
      </w: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Retos de futuro en la organización de la asistencia sanitaria</w:t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>Josep M Piqué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GUÍAS DE PRÁCTICA CLÍNICA</w:t>
      </w: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r w:rsidRPr="005E0334">
        <w:rPr>
          <w:rFonts w:ascii="Verdana" w:eastAsia="Times New Roman" w:hAnsi="Verdana" w:cs="Times New Roman"/>
          <w:b/>
          <w:bCs/>
          <w:i/>
          <w:iCs/>
          <w:color w:val="666666"/>
          <w:sz w:val="15"/>
          <w:szCs w:val="15"/>
          <w:lang w:eastAsia="es-AR"/>
        </w:rPr>
        <w:t> Guía Latinoamericana de Manejo de la Hepatitis Crónica B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Adrián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Gadano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Daruich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Hugo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Cheinquer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Hugo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Faimboin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Mario Pessoa, Hugo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Tanno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Angelo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Mattos, Marcelo Silva, Raymundo Paraná, Cristina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Galoppo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Gilda Porta, Miguel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Garassini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Jorge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Ferrandiz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Milagros Dávalos, Omar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Galdame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Sebastián Marciano, Esteban González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Ballerga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Bessone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Nelia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Hernández, Eduardo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Fassio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Jaime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Poniachik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Edna Strauss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3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19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HOMENAJE</w:t>
      </w: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 Doctor Juan Carlos Gómez (1947 - 2011)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Eduardo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Mauriño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Dr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Luis </w:t>
      </w:r>
      <w:proofErr w:type="spellStart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Boerr</w:t>
      </w:r>
      <w:proofErr w:type="spellEnd"/>
      <w:r w:rsidRPr="005E0334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4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20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 Congreso Argentino de Gastroenterología y Endoscopía Digestiva / Jornadas de Integración Regional en Gastroenterología / IV Curso Internacional de Otoño AGA-SAGE / Novedades Web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Sage</w:t>
      </w:r>
      <w:proofErr w:type="spell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/ Fechas de </w:t>
      </w:r>
      <w:proofErr w:type="spell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Inter&amp;eaucte</w:t>
      </w:r>
      <w:proofErr w:type="gramStart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;s</w:t>
      </w:r>
      <w:proofErr w:type="spellEnd"/>
      <w:proofErr w:type="gramEnd"/>
      <w:r w:rsidRPr="005E0334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/ Escuela de Graduados / </w:t>
      </w:r>
      <w:r w:rsidRPr="005E0334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5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21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ÍNDICE DE AUTORES Y REVISORES - VOLUMEN 41</w:t>
      </w: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hyperlink r:id="rId26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22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INSTRUCCIONES PARA LOS AUTORES</w:t>
      </w: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hyperlink r:id="rId27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23</w:t>
      </w:r>
    </w:p>
    <w:p w:rsidR="005E0334" w:rsidRPr="005E0334" w:rsidRDefault="005E0334" w:rsidP="005E0334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TRANSFERENCIA DE DERECHOS DE AUTORÍA</w:t>
      </w:r>
      <w:r w:rsidRPr="005E0334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hyperlink r:id="rId28" w:tgtFrame="_blank" w:history="1">
        <w:r w:rsidRPr="005E0334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24</w:t>
      </w:r>
    </w:p>
    <w:p w:rsidR="002965BF" w:rsidRPr="00853B49" w:rsidRDefault="005E0334" w:rsidP="00853B49"/>
    <w:sectPr w:rsidR="002965BF" w:rsidRPr="00853B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C2233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919CB"/>
    <w:rsid w:val="005A15AC"/>
    <w:rsid w:val="005E0334"/>
    <w:rsid w:val="006C620C"/>
    <w:rsid w:val="006C6D52"/>
    <w:rsid w:val="00707860"/>
    <w:rsid w:val="007943AF"/>
    <w:rsid w:val="007A1C51"/>
    <w:rsid w:val="0083260D"/>
    <w:rsid w:val="00853B49"/>
    <w:rsid w:val="00860293"/>
    <w:rsid w:val="00870128"/>
    <w:rsid w:val="008C31FB"/>
    <w:rsid w:val="008C7C7B"/>
    <w:rsid w:val="008D606E"/>
    <w:rsid w:val="00937DEC"/>
    <w:rsid w:val="009657AD"/>
    <w:rsid w:val="009E6D0A"/>
    <w:rsid w:val="00A45B1C"/>
    <w:rsid w:val="00A962B9"/>
    <w:rsid w:val="00AC1949"/>
    <w:rsid w:val="00B00077"/>
    <w:rsid w:val="00B1581E"/>
    <w:rsid w:val="00B5333A"/>
    <w:rsid w:val="00BA5D35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11/n4/41_4_2011_3.pdf" TargetMode="External"/><Relationship Id="rId13" Type="http://schemas.openxmlformats.org/officeDocument/2006/relationships/hyperlink" Target="http://www.actagastro.org/actas/2011/n4/41_4_2011_7.pdf" TargetMode="External"/><Relationship Id="rId18" Type="http://schemas.openxmlformats.org/officeDocument/2006/relationships/hyperlink" Target="http://www.actagastro.org/actas/2011/n4/41_4_2011_12.pdf" TargetMode="External"/><Relationship Id="rId26" Type="http://schemas.openxmlformats.org/officeDocument/2006/relationships/hyperlink" Target="http://www.actagastro.org/actas/2011/n4/41_4_2011_2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1/n4/41_4_2011_15.pdf" TargetMode="External"/><Relationship Id="rId7" Type="http://schemas.openxmlformats.org/officeDocument/2006/relationships/hyperlink" Target="http://www.actagastro.org/actas/2011/n4/41_4_2011_20.pdf" TargetMode="External"/><Relationship Id="rId12" Type="http://schemas.openxmlformats.org/officeDocument/2006/relationships/hyperlink" Target="http://www.actagastro.org/actas/2011/n4/41_4_2011_6.pdf" TargetMode="External"/><Relationship Id="rId17" Type="http://schemas.openxmlformats.org/officeDocument/2006/relationships/hyperlink" Target="http://www.actagastro.org/actas/2011/n4/41_4_2011_11.pdf" TargetMode="External"/><Relationship Id="rId25" Type="http://schemas.openxmlformats.org/officeDocument/2006/relationships/hyperlink" Target="http://www.actagastro.org/actas/2011/n4/41_4_2011_19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ctagastro.org/actas/2011/n4/41_4_2011_10.pdf" TargetMode="External"/><Relationship Id="rId20" Type="http://schemas.openxmlformats.org/officeDocument/2006/relationships/hyperlink" Target="http://www.actagastro.org/actas/2011/n4/41_4_2011_14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1/n4/41_4_2011_2.pdf" TargetMode="External"/><Relationship Id="rId11" Type="http://schemas.openxmlformats.org/officeDocument/2006/relationships/hyperlink" Target="http://www.actagastro.org/actas/2011/n4/41_4_2011_5.pdf" TargetMode="External"/><Relationship Id="rId24" Type="http://schemas.openxmlformats.org/officeDocument/2006/relationships/hyperlink" Target="http://www.actagastro.org/actas/2011/n4/41_4_2011_18.pdf" TargetMode="External"/><Relationship Id="rId5" Type="http://schemas.openxmlformats.org/officeDocument/2006/relationships/hyperlink" Target="http://www.actagastro.org/actas/2011/n4/41_4_2011_1.pdf" TargetMode="External"/><Relationship Id="rId15" Type="http://schemas.openxmlformats.org/officeDocument/2006/relationships/hyperlink" Target="http://www.actagastro.org/actas/2011/n4/41_4_2011_9.pdf" TargetMode="External"/><Relationship Id="rId23" Type="http://schemas.openxmlformats.org/officeDocument/2006/relationships/hyperlink" Target="http://www.actagastro.org/actas/2011/n4/41_4_2011_17.pdf" TargetMode="External"/><Relationship Id="rId28" Type="http://schemas.openxmlformats.org/officeDocument/2006/relationships/hyperlink" Target="http://www.actagastro.org/actas/2011/n4/41_4_2011_24.pdf" TargetMode="External"/><Relationship Id="rId10" Type="http://schemas.openxmlformats.org/officeDocument/2006/relationships/hyperlink" Target="http://www.actagastro.org/actas/2011/n4/41_4_2011_4.pdf" TargetMode="External"/><Relationship Id="rId19" Type="http://schemas.openxmlformats.org/officeDocument/2006/relationships/hyperlink" Target="http://www.actagastro.org/actas/2011/n4/41_4_2011_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agastro.org/actas/2011/n4/41_4_2011_21.pdf" TargetMode="External"/><Relationship Id="rId14" Type="http://schemas.openxmlformats.org/officeDocument/2006/relationships/hyperlink" Target="http://www.actagastro.org/actas/2011/n4/41_4_2011_8.pdf" TargetMode="External"/><Relationship Id="rId22" Type="http://schemas.openxmlformats.org/officeDocument/2006/relationships/hyperlink" Target="http://www.actagastro.org/actas/2011/n4/41_4_2011_16.pdf" TargetMode="External"/><Relationship Id="rId27" Type="http://schemas.openxmlformats.org/officeDocument/2006/relationships/hyperlink" Target="http://www.actagastro.org/actas/2011/n4/41_4_2011_2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2015-08-14T18:58:00Z</dcterms:created>
  <dcterms:modified xsi:type="dcterms:W3CDTF">2015-08-14T19:06:00Z</dcterms:modified>
</cp:coreProperties>
</file>